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832" w:rsidRPr="00772832" w:rsidRDefault="00772832" w:rsidP="00772832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1E293B"/>
        </w:rPr>
      </w:pPr>
      <w:bookmarkStart w:id="0" w:name="_GoBack"/>
      <w:bookmarkEnd w:id="0"/>
    </w:p>
    <w:p w:rsidR="00772832" w:rsidRPr="00772832" w:rsidRDefault="00772832" w:rsidP="00772832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772832">
        <w:rPr>
          <w:rFonts w:ascii="Arial" w:eastAsia="Times New Roman" w:hAnsi="Arial" w:cs="Arial"/>
          <w:b/>
          <w:bCs/>
          <w:color w:val="222222"/>
        </w:rPr>
        <w:t>Overview</w:t>
      </w:r>
    </w:p>
    <w:p w:rsidR="00772832" w:rsidRPr="00772832" w:rsidRDefault="00772832" w:rsidP="007728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City received AAA bond ratings from both Moody's and Standard &amp; Poor's, leading to successful </w:t>
      </w:r>
      <w:r w:rsidRPr="00772832">
        <w:rPr>
          <w:rFonts w:ascii="Arial" w:eastAsia="Times New Roman" w:hAnsi="Arial" w:cs="Arial"/>
          <w:b/>
          <w:bCs/>
          <w:color w:val="333333"/>
        </w:rPr>
        <w:t>$47M</w:t>
      </w:r>
      <w:r w:rsidRPr="00772832">
        <w:rPr>
          <w:rFonts w:ascii="Arial" w:eastAsia="Times New Roman" w:hAnsi="Arial" w:cs="Arial"/>
          <w:color w:val="333333"/>
        </w:rPr>
        <w:t> bond sale with </w:t>
      </w:r>
      <w:r w:rsidRPr="00772832">
        <w:rPr>
          <w:rFonts w:ascii="Arial" w:eastAsia="Times New Roman" w:hAnsi="Arial" w:cs="Arial"/>
          <w:b/>
          <w:bCs/>
          <w:color w:val="333333"/>
        </w:rPr>
        <w:t>3.52%</w:t>
      </w:r>
      <w:r w:rsidRPr="00772832">
        <w:rPr>
          <w:rFonts w:ascii="Arial" w:eastAsia="Times New Roman" w:hAnsi="Arial" w:cs="Arial"/>
          <w:color w:val="333333"/>
        </w:rPr>
        <w:t> true interest cost</w:t>
      </w:r>
    </w:p>
    <w:p w:rsidR="00772832" w:rsidRPr="00772832" w:rsidRDefault="00772832" w:rsidP="007728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Board approved Avalon Square PUD vesting rights extension to </w:t>
      </w:r>
      <w:r w:rsidRPr="00772832">
        <w:rPr>
          <w:rFonts w:ascii="Arial" w:eastAsia="Times New Roman" w:hAnsi="Arial" w:cs="Arial"/>
          <w:b/>
          <w:bCs/>
          <w:color w:val="333333"/>
        </w:rPr>
        <w:t>March 12th, 2027</w:t>
      </w:r>
      <w:r w:rsidRPr="00772832">
        <w:rPr>
          <w:rFonts w:ascii="Arial" w:eastAsia="Times New Roman" w:hAnsi="Arial" w:cs="Arial"/>
          <w:color w:val="333333"/>
        </w:rPr>
        <w:t> in 6-1 vote</w:t>
      </w:r>
    </w:p>
    <w:p w:rsidR="00772832" w:rsidRPr="00772832" w:rsidRDefault="00772832" w:rsidP="007728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Three property rezoning requests advanced to public hearings scheduled for </w:t>
      </w:r>
      <w:r w:rsidRPr="00772832">
        <w:rPr>
          <w:rFonts w:ascii="Arial" w:eastAsia="Times New Roman" w:hAnsi="Arial" w:cs="Arial"/>
          <w:b/>
          <w:bCs/>
          <w:color w:val="333333"/>
        </w:rPr>
        <w:t>April 8th, 2025</w:t>
      </w:r>
    </w:p>
    <w:p w:rsidR="00772832" w:rsidRPr="00772832" w:rsidRDefault="00772832" w:rsidP="007728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Hillsborough Road sewer availability request approved in 4-3 vote for single large residence requiring </w:t>
      </w:r>
      <w:r w:rsidRPr="00772832">
        <w:rPr>
          <w:rFonts w:ascii="Arial" w:eastAsia="Times New Roman" w:hAnsi="Arial" w:cs="Arial"/>
          <w:b/>
          <w:bCs/>
          <w:color w:val="333333"/>
        </w:rPr>
        <w:t>4.3</w:t>
      </w:r>
      <w:r w:rsidRPr="00772832">
        <w:rPr>
          <w:rFonts w:ascii="Arial" w:eastAsia="Times New Roman" w:hAnsi="Arial" w:cs="Arial"/>
          <w:color w:val="333333"/>
        </w:rPr>
        <w:t> SFUEs</w:t>
      </w:r>
    </w:p>
    <w:p w:rsidR="00772832" w:rsidRPr="00772832" w:rsidRDefault="00772832" w:rsidP="007728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Board approved </w:t>
      </w:r>
      <w:r w:rsidRPr="00772832">
        <w:rPr>
          <w:rFonts w:ascii="Arial" w:eastAsia="Times New Roman" w:hAnsi="Arial" w:cs="Arial"/>
          <w:b/>
          <w:bCs/>
          <w:color w:val="333333"/>
        </w:rPr>
        <w:t>$12,000</w:t>
      </w:r>
      <w:r w:rsidRPr="00772832">
        <w:rPr>
          <w:rFonts w:ascii="Arial" w:eastAsia="Times New Roman" w:hAnsi="Arial" w:cs="Arial"/>
          <w:color w:val="333333"/>
        </w:rPr>
        <w:t> legal settlement in City of Franklin vs. John William Patton Jr. case</w:t>
      </w:r>
    </w:p>
    <w:p w:rsidR="00772832" w:rsidRPr="00772832" w:rsidRDefault="00772832" w:rsidP="00772832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772832">
        <w:rPr>
          <w:rFonts w:ascii="Arial" w:eastAsia="Times New Roman" w:hAnsi="Arial" w:cs="Arial"/>
          <w:b/>
          <w:bCs/>
          <w:color w:val="222222"/>
        </w:rPr>
        <w:t>AAA bond rating and $47M bond sale</w:t>
      </w:r>
    </w:p>
    <w:p w:rsidR="00772832" w:rsidRPr="00772832" w:rsidRDefault="00772832" w:rsidP="0077283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City secured AAA ratings from both Moody's and Standard &amp; Poor's</w:t>
      </w:r>
    </w:p>
    <w:p w:rsidR="00772832" w:rsidRPr="00772832" w:rsidRDefault="00772832" w:rsidP="0077283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Participant 3 reported </w:t>
      </w:r>
      <w:r w:rsidRPr="00772832">
        <w:rPr>
          <w:rFonts w:ascii="Arial" w:eastAsia="Times New Roman" w:hAnsi="Arial" w:cs="Arial"/>
          <w:b/>
          <w:bCs/>
          <w:color w:val="333333"/>
        </w:rPr>
        <w:t>12</w:t>
      </w:r>
      <w:r w:rsidRPr="00772832">
        <w:rPr>
          <w:rFonts w:ascii="Arial" w:eastAsia="Times New Roman" w:hAnsi="Arial" w:cs="Arial"/>
          <w:color w:val="333333"/>
        </w:rPr>
        <w:t> bids received for bond sale with winning bid at </w:t>
      </w:r>
      <w:r w:rsidRPr="00772832">
        <w:rPr>
          <w:rFonts w:ascii="Arial" w:eastAsia="Times New Roman" w:hAnsi="Arial" w:cs="Arial"/>
          <w:b/>
          <w:bCs/>
          <w:color w:val="333333"/>
        </w:rPr>
        <w:t>3.52%</w:t>
      </w:r>
      <w:r w:rsidRPr="00772832">
        <w:rPr>
          <w:rFonts w:ascii="Arial" w:eastAsia="Times New Roman" w:hAnsi="Arial" w:cs="Arial"/>
          <w:color w:val="333333"/>
        </w:rPr>
        <w:t> true interest cost</w:t>
      </w:r>
    </w:p>
    <w:p w:rsidR="00772832" w:rsidRPr="00772832" w:rsidRDefault="00772832" w:rsidP="0077283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Hilltop Securities (Dallas) won the bid for </w:t>
      </w:r>
      <w:r w:rsidRPr="00772832">
        <w:rPr>
          <w:rFonts w:ascii="Arial" w:eastAsia="Times New Roman" w:hAnsi="Arial" w:cs="Arial"/>
          <w:b/>
          <w:bCs/>
          <w:color w:val="333333"/>
        </w:rPr>
        <w:t>$47M</w:t>
      </w:r>
      <w:r w:rsidRPr="00772832">
        <w:rPr>
          <w:rFonts w:ascii="Arial" w:eastAsia="Times New Roman" w:hAnsi="Arial" w:cs="Arial"/>
          <w:color w:val="333333"/>
        </w:rPr>
        <w:t> bond sale</w:t>
      </w:r>
    </w:p>
    <w:p w:rsidR="00772832" w:rsidRPr="00772832" w:rsidRDefault="00772832" w:rsidP="0077283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Bond funds allocated for:</w:t>
      </w:r>
    </w:p>
    <w:p w:rsidR="00772832" w:rsidRPr="00772832" w:rsidRDefault="00772832" w:rsidP="00772832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Southeast park project (largest portion)</w:t>
      </w:r>
    </w:p>
    <w:p w:rsidR="00772832" w:rsidRPr="00772832" w:rsidRDefault="00772832" w:rsidP="00772832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Road resurfacing</w:t>
      </w:r>
    </w:p>
    <w:p w:rsidR="00772832" w:rsidRPr="00772832" w:rsidRDefault="00772832" w:rsidP="00772832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Fire apparatus</w:t>
      </w:r>
    </w:p>
    <w:p w:rsidR="00772832" w:rsidRPr="00772832" w:rsidRDefault="00772832" w:rsidP="00772832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McHugh phase four</w:t>
      </w:r>
    </w:p>
    <w:p w:rsidR="00772832" w:rsidRPr="00772832" w:rsidRDefault="00772832" w:rsidP="0077283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Bond closing scheduled for </w:t>
      </w:r>
      <w:r w:rsidRPr="00772832">
        <w:rPr>
          <w:rFonts w:ascii="Arial" w:eastAsia="Times New Roman" w:hAnsi="Arial" w:cs="Arial"/>
          <w:b/>
          <w:bCs/>
          <w:color w:val="333333"/>
        </w:rPr>
        <w:t>March 26th, 2025</w:t>
      </w:r>
    </w:p>
    <w:p w:rsidR="00772832" w:rsidRPr="00772832" w:rsidRDefault="00772832" w:rsidP="00772832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772832">
        <w:rPr>
          <w:rFonts w:ascii="Arial" w:eastAsia="Times New Roman" w:hAnsi="Arial" w:cs="Arial"/>
          <w:b/>
          <w:bCs/>
          <w:color w:val="222222"/>
        </w:rPr>
        <w:t>Avalon Square PUD vesting rights extension</w:t>
      </w:r>
    </w:p>
    <w:p w:rsidR="00772832" w:rsidRPr="00772832" w:rsidRDefault="00772832" w:rsidP="0077283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Board approved two-year extension until </w:t>
      </w:r>
      <w:r w:rsidRPr="00772832">
        <w:rPr>
          <w:rFonts w:ascii="Arial" w:eastAsia="Times New Roman" w:hAnsi="Arial" w:cs="Arial"/>
          <w:b/>
          <w:bCs/>
          <w:color w:val="333333"/>
        </w:rPr>
        <w:t>March 12th, 2027</w:t>
      </w:r>
    </w:p>
    <w:p w:rsidR="00772832" w:rsidRPr="00772832" w:rsidRDefault="00772832" w:rsidP="0077283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Current development plan includes:</w:t>
      </w:r>
    </w:p>
    <w:p w:rsidR="00772832" w:rsidRPr="00772832" w:rsidRDefault="00772832" w:rsidP="00772832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b/>
          <w:bCs/>
          <w:color w:val="333333"/>
        </w:rPr>
        <w:t>614</w:t>
      </w:r>
      <w:r w:rsidRPr="00772832">
        <w:rPr>
          <w:rFonts w:ascii="Arial" w:eastAsia="Times New Roman" w:hAnsi="Arial" w:cs="Arial"/>
          <w:color w:val="333333"/>
        </w:rPr>
        <w:t> dwelling units</w:t>
      </w:r>
    </w:p>
    <w:p w:rsidR="00772832" w:rsidRPr="00772832" w:rsidRDefault="00772832" w:rsidP="00772832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b/>
          <w:bCs/>
          <w:color w:val="333333"/>
        </w:rPr>
        <w:t>420,875</w:t>
      </w:r>
      <w:r w:rsidRPr="00772832">
        <w:rPr>
          <w:rFonts w:ascii="Arial" w:eastAsia="Times New Roman" w:hAnsi="Arial" w:cs="Arial"/>
          <w:color w:val="333333"/>
        </w:rPr>
        <w:t> square feet of non-residential space</w:t>
      </w:r>
    </w:p>
    <w:p w:rsidR="00772832" w:rsidRPr="00772832" w:rsidRDefault="00772832" w:rsidP="00772832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Mix of townhomes and multifamily units</w:t>
      </w:r>
    </w:p>
    <w:p w:rsidR="00772832" w:rsidRPr="00772832" w:rsidRDefault="00772832" w:rsidP="00772832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Commercial spaces including retail, movie theater, food hall, big box retailer, daycare, and gas station</w:t>
      </w:r>
    </w:p>
    <w:p w:rsidR="00772832" w:rsidRPr="00772832" w:rsidRDefault="00772832" w:rsidP="0077283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Property located at Cool Springs Boulevard and McEwen Drive intersection</w:t>
      </w:r>
    </w:p>
    <w:p w:rsidR="00772832" w:rsidRPr="00772832" w:rsidRDefault="00772832" w:rsidP="0077283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Passed in 6-1 vote</w:t>
      </w:r>
    </w:p>
    <w:p w:rsidR="00772832" w:rsidRPr="00772832" w:rsidRDefault="00772832" w:rsidP="00772832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772832">
        <w:rPr>
          <w:rFonts w:ascii="Arial" w:eastAsia="Times New Roman" w:hAnsi="Arial" w:cs="Arial"/>
          <w:b/>
          <w:bCs/>
          <w:color w:val="222222"/>
        </w:rPr>
        <w:t>Property rezoning requests</w:t>
      </w:r>
    </w:p>
    <w:p w:rsidR="00772832" w:rsidRPr="00772832" w:rsidRDefault="00772832" w:rsidP="0077283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Board advanced three rezoning requests to public hearings on </w:t>
      </w:r>
      <w:r w:rsidRPr="00772832">
        <w:rPr>
          <w:rFonts w:ascii="Arial" w:eastAsia="Times New Roman" w:hAnsi="Arial" w:cs="Arial"/>
          <w:b/>
          <w:bCs/>
          <w:color w:val="333333"/>
        </w:rPr>
        <w:t>April 8th, 2025</w:t>
      </w:r>
      <w:r w:rsidRPr="00772832">
        <w:rPr>
          <w:rFonts w:ascii="Arial" w:eastAsia="Times New Roman" w:hAnsi="Arial" w:cs="Arial"/>
          <w:color w:val="333333"/>
        </w:rPr>
        <w:t>:</w:t>
      </w:r>
    </w:p>
    <w:p w:rsidR="00772832" w:rsidRPr="00772832" w:rsidRDefault="00772832" w:rsidP="00772832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b/>
          <w:bCs/>
          <w:color w:val="333333"/>
        </w:rPr>
        <w:t>70.57</w:t>
      </w:r>
      <w:r w:rsidRPr="00772832">
        <w:rPr>
          <w:rFonts w:ascii="Arial" w:eastAsia="Times New Roman" w:hAnsi="Arial" w:cs="Arial"/>
          <w:color w:val="333333"/>
        </w:rPr>
        <w:t> acres from Agriculture to PD for Erickson Senior Living</w:t>
      </w:r>
    </w:p>
    <w:p w:rsidR="00772832" w:rsidRPr="00772832" w:rsidRDefault="00772832" w:rsidP="00772832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b/>
          <w:bCs/>
          <w:color w:val="333333"/>
        </w:rPr>
        <w:t>1.95</w:t>
      </w:r>
      <w:r w:rsidRPr="00772832">
        <w:rPr>
          <w:rFonts w:ascii="Arial" w:eastAsia="Times New Roman" w:hAnsi="Arial" w:cs="Arial"/>
          <w:color w:val="333333"/>
        </w:rPr>
        <w:t> acres from R4 to Civic Institutional at 104 Chestnut Lane</w:t>
      </w:r>
    </w:p>
    <w:p w:rsidR="00772832" w:rsidRPr="00772832" w:rsidRDefault="00772832" w:rsidP="00772832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b/>
          <w:bCs/>
          <w:color w:val="333333"/>
        </w:rPr>
        <w:lastRenderedPageBreak/>
        <w:t>20.15</w:t>
      </w:r>
      <w:r w:rsidRPr="00772832">
        <w:rPr>
          <w:rFonts w:ascii="Arial" w:eastAsia="Times New Roman" w:hAnsi="Arial" w:cs="Arial"/>
          <w:color w:val="333333"/>
        </w:rPr>
        <w:t> acres for Factory at Franklin PUD at 230 Franklin Road</w:t>
      </w:r>
    </w:p>
    <w:p w:rsidR="00772832" w:rsidRPr="00772832" w:rsidRDefault="00772832" w:rsidP="00772832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772832">
        <w:rPr>
          <w:rFonts w:ascii="Arial" w:eastAsia="Times New Roman" w:hAnsi="Arial" w:cs="Arial"/>
          <w:b/>
          <w:bCs/>
          <w:color w:val="222222"/>
        </w:rPr>
        <w:t>Hillsborough Road sewer availability debate</w:t>
      </w:r>
    </w:p>
    <w:p w:rsidR="00772832" w:rsidRPr="00772832" w:rsidRDefault="00772832" w:rsidP="0077283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Board approved sewer availability in 4-3 vote</w:t>
      </w:r>
    </w:p>
    <w:p w:rsidR="00772832" w:rsidRPr="00772832" w:rsidRDefault="00772832" w:rsidP="0077283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Request for single large residence requiring </w:t>
      </w:r>
      <w:r w:rsidRPr="00772832">
        <w:rPr>
          <w:rFonts w:ascii="Arial" w:eastAsia="Times New Roman" w:hAnsi="Arial" w:cs="Arial"/>
          <w:b/>
          <w:bCs/>
          <w:color w:val="333333"/>
        </w:rPr>
        <w:t>4.3</w:t>
      </w:r>
      <w:r w:rsidRPr="00772832">
        <w:rPr>
          <w:rFonts w:ascii="Arial" w:eastAsia="Times New Roman" w:hAnsi="Arial" w:cs="Arial"/>
          <w:color w:val="333333"/>
        </w:rPr>
        <w:t> SFUEs</w:t>
      </w:r>
    </w:p>
    <w:p w:rsidR="00772832" w:rsidRPr="00772832" w:rsidRDefault="00772832" w:rsidP="0077283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Property owner responsible for:</w:t>
      </w:r>
    </w:p>
    <w:p w:rsidR="00772832" w:rsidRPr="00772832" w:rsidRDefault="00772832" w:rsidP="00772832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Extension costs</w:t>
      </w:r>
    </w:p>
    <w:p w:rsidR="00772832" w:rsidRPr="00772832" w:rsidRDefault="00772832" w:rsidP="00772832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Securing easements</w:t>
      </w:r>
    </w:p>
    <w:p w:rsidR="00772832" w:rsidRPr="00772832" w:rsidRDefault="00772832" w:rsidP="00772832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Impact fees</w:t>
      </w:r>
    </w:p>
    <w:p w:rsidR="00772832" w:rsidRPr="00772832" w:rsidRDefault="00772832" w:rsidP="00772832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Higher sewer rates (outside city)</w:t>
      </w:r>
    </w:p>
    <w:p w:rsidR="00772832" w:rsidRPr="00772832" w:rsidRDefault="00772832" w:rsidP="0077283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Located outside current urban growth boundary</w:t>
      </w:r>
    </w:p>
    <w:p w:rsidR="00772832" w:rsidRPr="00772832" w:rsidRDefault="00772832" w:rsidP="00772832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772832">
        <w:rPr>
          <w:rFonts w:ascii="Arial" w:eastAsia="Times New Roman" w:hAnsi="Arial" w:cs="Arial"/>
          <w:b/>
          <w:bCs/>
          <w:color w:val="222222"/>
        </w:rPr>
        <w:t>$12,000 legal settlement approval</w:t>
      </w:r>
    </w:p>
    <w:p w:rsidR="00772832" w:rsidRPr="00772832" w:rsidRDefault="00772832" w:rsidP="0077283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Board unanimously approved </w:t>
      </w:r>
      <w:r w:rsidRPr="00772832">
        <w:rPr>
          <w:rFonts w:ascii="Arial" w:eastAsia="Times New Roman" w:hAnsi="Arial" w:cs="Arial"/>
          <w:b/>
          <w:bCs/>
          <w:color w:val="333333"/>
        </w:rPr>
        <w:t>$12,000</w:t>
      </w:r>
      <w:r w:rsidRPr="00772832">
        <w:rPr>
          <w:rFonts w:ascii="Arial" w:eastAsia="Times New Roman" w:hAnsi="Arial" w:cs="Arial"/>
          <w:color w:val="333333"/>
        </w:rPr>
        <w:t> settlement in City of Franklin vs. John William Patton Jr. case</w:t>
      </w:r>
    </w:p>
    <w:p w:rsidR="00772832" w:rsidRPr="00772832" w:rsidRDefault="00772832" w:rsidP="0077283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772832">
        <w:rPr>
          <w:rFonts w:ascii="Arial" w:eastAsia="Times New Roman" w:hAnsi="Arial" w:cs="Arial"/>
          <w:color w:val="333333"/>
        </w:rPr>
        <w:t>Authorized negotiation and execution of settlement agreement</w:t>
      </w:r>
    </w:p>
    <w:p w:rsidR="00AA7D8C" w:rsidRDefault="00772832"/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11D"/>
    <w:multiLevelType w:val="multilevel"/>
    <w:tmpl w:val="90EC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F2EEF"/>
    <w:multiLevelType w:val="multilevel"/>
    <w:tmpl w:val="8DD6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4711D"/>
    <w:multiLevelType w:val="multilevel"/>
    <w:tmpl w:val="635A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D0E8F"/>
    <w:multiLevelType w:val="multilevel"/>
    <w:tmpl w:val="57E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36278"/>
    <w:multiLevelType w:val="multilevel"/>
    <w:tmpl w:val="C5C4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97D8B"/>
    <w:multiLevelType w:val="multilevel"/>
    <w:tmpl w:val="0216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32"/>
    <w:rsid w:val="0003192B"/>
    <w:rsid w:val="000A7DC2"/>
    <w:rsid w:val="000B3134"/>
    <w:rsid w:val="0013374A"/>
    <w:rsid w:val="00140ACD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56EB4"/>
    <w:rsid w:val="00484FF2"/>
    <w:rsid w:val="004F52B8"/>
    <w:rsid w:val="00510551"/>
    <w:rsid w:val="00522477"/>
    <w:rsid w:val="00577E78"/>
    <w:rsid w:val="00597AC0"/>
    <w:rsid w:val="00633315"/>
    <w:rsid w:val="00661ED9"/>
    <w:rsid w:val="006648BC"/>
    <w:rsid w:val="006F1A7B"/>
    <w:rsid w:val="00772832"/>
    <w:rsid w:val="007909AD"/>
    <w:rsid w:val="007B7B15"/>
    <w:rsid w:val="00811C02"/>
    <w:rsid w:val="00845A7F"/>
    <w:rsid w:val="008808B6"/>
    <w:rsid w:val="008C4CAC"/>
    <w:rsid w:val="008D1C62"/>
    <w:rsid w:val="008E79EF"/>
    <w:rsid w:val="0093244E"/>
    <w:rsid w:val="00956FED"/>
    <w:rsid w:val="00996B13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67000"/>
    <w:rsid w:val="00BC4E47"/>
    <w:rsid w:val="00BD3C03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61A20"/>
    <w:rsid w:val="00DB132C"/>
    <w:rsid w:val="00DC5E1C"/>
    <w:rsid w:val="00E407A4"/>
    <w:rsid w:val="00EA0903"/>
    <w:rsid w:val="00EC2C2C"/>
    <w:rsid w:val="00F05CE6"/>
    <w:rsid w:val="00F06787"/>
    <w:rsid w:val="00F12982"/>
    <w:rsid w:val="00F231D4"/>
    <w:rsid w:val="00F34704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F6F1"/>
  <w14:defaultImageDpi w14:val="32767"/>
  <w15:chartTrackingRefBased/>
  <w15:docId w15:val="{7BB008D1-6EDB-6B43-B60C-D1F845F9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7283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72832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28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28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72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6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8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3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0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6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2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7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2025-03-15T17:06:00Z</dcterms:created>
  <dcterms:modified xsi:type="dcterms:W3CDTF">2025-03-15T17:07:00Z</dcterms:modified>
</cp:coreProperties>
</file>